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Anno scolastico: 2022/2023</w:t>
      </w:r>
      <w:r w:rsidDel="00000000" w:rsidR="00000000" w:rsidRPr="00000000">
        <w:rPr>
          <w:sz w:val="22"/>
          <w:szCs w:val="22"/>
          <w:rtl w:val="0"/>
        </w:rPr>
        <w:t xml:space="preserve">                                       </w:t>
        <w:tab/>
        <w:tab/>
        <w:tab/>
        <w:tab/>
        <w:t xml:space="preserve">Classe: </w:t>
      </w:r>
      <w:r w:rsidDel="00000000" w:rsidR="00000000" w:rsidRPr="00000000">
        <w:rPr>
          <w:b w:val="1"/>
          <w:sz w:val="22"/>
          <w:szCs w:val="22"/>
          <w:rtl w:val="0"/>
        </w:rPr>
        <w:t xml:space="preserve">II^ P  -  SC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Disciplina:</w:t>
      </w:r>
      <w:r w:rsidDel="00000000" w:rsidR="00000000" w:rsidRPr="00000000">
        <w:rPr>
          <w:b w:val="1"/>
          <w:sz w:val="22"/>
          <w:szCs w:val="22"/>
          <w:rtl w:val="0"/>
        </w:rPr>
        <w:t xml:space="preserve"> Tecnica professionale dei servizi commerciali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Docente: Mirko ROLETTO</w:t>
      </w:r>
    </w:p>
    <w:p w:rsidR="00000000" w:rsidDel="00000000" w:rsidP="00000000" w:rsidRDefault="00000000" w:rsidRPr="00000000" w14:paraId="00000009">
      <w:pPr>
        <w:ind w:right="-134.5275590551165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Testo: “Esperienze professionali” – F. Calauti, G. Grazioli, d. Stroffolino – Ed. Tramontana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RIPASSO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Contratto di compravendita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Fatturazione e normativa IVA. Casi studio.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ULO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Credito e i calcoli finanziari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0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Competenze e Abilita'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Determinare il fabbisogno finanziario iniziale dell'impresa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Classificare le fonti di finanziamento aziendali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Analizzare la struttura patrimoniale dell'impresa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Applicare le formule </w:t>
      </w:r>
      <w:r w:rsidDel="00000000" w:rsidR="00000000" w:rsidRPr="00000000">
        <w:rPr>
          <w:sz w:val="22"/>
          <w:szCs w:val="22"/>
          <w:rtl w:val="0"/>
        </w:rPr>
        <w:t xml:space="preserve">dirette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inverse dell'interesse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Risolvere problemi diretti e inversi del montante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Risolvere problemi di scadenza comune stabilita e adeguata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Saper redigere  il libretto di deposito e lo scalare interessi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Conoscenze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Caratteristiche delle fonti di finanziamento aziendali (</w:t>
      </w:r>
      <w:r w:rsidDel="00000000" w:rsidR="00000000" w:rsidRPr="00000000">
        <w:rPr>
          <w:sz w:val="22"/>
          <w:szCs w:val="22"/>
          <w:rtl w:val="0"/>
        </w:rPr>
        <w:t xml:space="preserve">cenni)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Concetto di mercato dei capitali e ruolo delle banche nell’intermediazione creditizia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Concetti di interesse e di montante, formule inverse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Concetto di sconto commerciale e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valore attuale commerciale, formule inverse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Tasso legale di interesse, interessi di mora, usura - EDUCAZIONE CIVICA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</w:t>
      </w:r>
      <w:r w:rsidDel="00000000" w:rsidR="00000000" w:rsidRPr="00000000">
        <w:rPr>
          <w:sz w:val="22"/>
          <w:szCs w:val="22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Gli strumenti di regolamento del credito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Competenze e Abilita'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Distinguere i vari mezzi di pagamento e le differenti forme di regolamento di una compravendita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Classificare i titoli di credito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Compilare assegni bancari, circolari, ordini di bonifico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Compilare pagherò e tratte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sz w:val="22"/>
          <w:szCs w:val="22"/>
          <w:rtl w:val="0"/>
        </w:rPr>
        <w:t xml:space="preserve">onoscenze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sistema dei pagamenti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Concetto di titolo di credito e caratteristiche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Caratteristiche e requisiti degli assegni bancari (definizione, soggetti coinvolti, requisiti per l’emissione, elementi essenziali, trasferibilità e girate,  cenni alla procedura in caso di mancato pagamento dell’assegno). Casi studio ed emissione del documento.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Caratteristiche e requisiti degli assegni circolari (definizione, soggetti coinvolti, requisiti per l’emissione, elementi essenziali, trasferibilità e girate,  richiesta di assegno circolare, confronto con l’assegno bancario). Casi studio ed emissione del documento.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Concetto di bonifico bancario, codice IBAN, pagamenti nell’area SEPA. Casi studio ed emissione del documento.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Caratteristiche della procedura Ri.Ba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Carte di credito, d</w:t>
      </w:r>
      <w:r w:rsidDel="00000000" w:rsidR="00000000" w:rsidRPr="00000000">
        <w:rPr>
          <w:sz w:val="22"/>
          <w:szCs w:val="22"/>
          <w:rtl w:val="0"/>
        </w:rPr>
        <w:t xml:space="preserve">i debito e prepagate.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Strumenti di pagamento digitali (caratteristiche, vantaggi e svantaggi, principali app attualmente diffuse e relativo meccanismo di funzionamento)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ind w:left="1275.5905511811022" w:hanging="283.46456692913375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LOGISTICA - Integrazione con dispense e appunti</w:t>
      </w:r>
    </w:p>
    <w:p w:rsidR="00000000" w:rsidDel="00000000" w:rsidP="00000000" w:rsidRDefault="00000000" w:rsidRPr="00000000" w14:paraId="0000003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2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Concetti di logistica distributiva e di magazzino;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2"/>
        </w:numPr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Gestione del magazzino e tecniche di stoccaggio;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2"/>
        </w:numPr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Scorta minima, massima, livello di riordino, lotto economico di acquisto, lead time.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2"/>
        </w:numPr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Criteri di valutazione delle scorte di magazzino: LIFO, FIFO.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Ivrea, </w:t>
      </w:r>
      <w:r w:rsidDel="00000000" w:rsidR="00000000" w:rsidRPr="00000000">
        <w:rPr>
          <w:sz w:val="22"/>
          <w:szCs w:val="22"/>
          <w:rtl w:val="0"/>
        </w:rPr>
        <w:t xml:space="preserve">9 giugno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docente</w:t>
        <w:tab/>
        <w:tab/>
        <w:tab/>
        <w:tab/>
        <w:tab/>
        <w:tab/>
        <w:tab/>
        <w:tab/>
        <w:t xml:space="preserve">I rappresentanti di classe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Mirko ROLETTO</w:t>
        <w:tab/>
        <w:tab/>
        <w:tab/>
        <w:t xml:space="preserve">2^ </w:t>
      </w: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ind. Serv. Com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          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even"/>
      <w:pgSz w:h="16839" w:w="11907" w:orient="portrait"/>
      <w:pgMar w:bottom="720" w:top="720" w:left="1275.5905511811022" w:right="1138.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36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08" w:right="0" w:firstLine="708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8"/>
        <w:szCs w:val="28"/>
        <w:u w:val="none"/>
        <w:shd w:fill="auto" w:val="clear"/>
        <w:vertAlign w:val="baseline"/>
        <w:rtl w:val="0"/>
      </w:rPr>
      <w:t xml:space="preserve">I.I.S.  “G. CENA</w:t>
    </w: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  <w:rtl w:val="0"/>
      </w:rPr>
      <w:t xml:space="preserve">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47626</wp:posOffset>
          </wp:positionH>
          <wp:positionV relativeFrom="paragraph">
            <wp:posOffset>-304799</wp:posOffset>
          </wp:positionV>
          <wp:extent cx="842010" cy="71183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2010" cy="71183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0"/>
      <w:numFmt w:val="bullet"/>
      <w:lvlText w:val="-"/>
      <w:lvlJc w:val="left"/>
      <w:pPr>
        <w:ind w:left="78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